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764920-О/2024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«Альфа Строй» на нарушение его конституционных прав частью 2 статьи 215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«Альфа 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«Альфа Строй» оспаривает конституционность части 2 статьи 215 «Решение суда по административному делу об оспаривании нормативного правового акта» КАС Российской Федерации. Как следует из представленных материалов, апелляционным определением апелляционного суда общей юрисдикции, с которым согласились суды вышестоящих инстанций, отказано в удовлетворении требований заявителя о признании недействующими части 3 статьи 5 Закона Краснодарского края от 27 апреля 2007 года № 1229-КЗ «Об обеспечении беспрепятственного доступа маломобильных граждан к объектам 2 социальной, транспортной и инженерной инфраструктур, информации и связи в Краснодарском крае» и постановления главы администрации Краснодарского края от 8 октября 2007 года № 950 «О согласовании заданий на проектирование объектов социальной инфраструктуры при их строительстве, реконструкции и капитальном ремонте с управлениями социальной защиты населения в муниципальных образованиях Краснодарского края в части обеспечения беспрепятственного доступа к ним маломобильных граждан». При этом суды указали, что федеральное законодательство содержит требования по обеспечению доступа маломобильных групп населения к объекту капитального строительства и принятие нового федерального законодательства, направленного на сокращение сроков строительства объектов капитального строительства, не исключает обязанности предоставления застройщиком (техническим заказчиком) для проведения экспертизы проектной документации в качестве одного из документов задания на проектирование, согласованного с территориальными органами социальной защиты населения. По мнению заявителя, часть 2 статьи 215 КАС Российской Федерации противоречит статье 120 (часть 2) Конституции Российской Федерации в той мере, в какой она позволяет отказывать в удовлетворении заявленных требований о признании недействующим нормативного правового акта полностью или в части со ссылкой на то, что оспариваемый нормативный правовой акт соответствует любому иному, а не указанному административным истцом, нормативному правовому акту, имеющему большую юридическую силу, и даже формально не оценивать соответствие оспариваемого нормативного правового акта указанному заявителем нормативному правовому акту, имеющему большую юридическую силу.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«Альфа Строй», поскольку она не отвечает 5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