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771943-О/2024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Лисицыной Ирины Ивановны на нарушение ее конституционных прав частью второй статьи 135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И.И.Лисицыной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И.И.Лисицына оспаривает конституционность части второй статьи 135 Трудового кодекса Российской Федерации, согласно которой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2 По мнению заявительницы, оспариваемое положение не соответствует статьям 19 (части 1 и 2), 37 (часть 3), 55 (часть 3), 75 (часть 5) и 751 Конституции Российской Федерации в той мере, в какой в системе действующего правового регулирования по смыслу, придаваемому правоприменительной практикой, предоставляет работодателю ничем не ограниченное право произвольно устанавливать правила исчисления отдельных выплат, входящих в состав заработной платы, и тем самым – во взаимосвязи с соответствующими положениями коллективного договора и (или) локальных нормативных актов – позволяет без учета количества и качества затраченного труда, а также иных объективных критериев уменьшать размер заработной платы работника либо лишать его входящих в состав его заработной платы стимулирующих выплат, право на получение которых обусловлено достижением определенных результатов труда. Оспариваемая норма применена в деле заявительницы судами общей юрисдикции.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Лисицыной Ирины Ивановны,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