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686954-П/2023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«Артковер» на нарушение его конституционных прав частью 2 статьи 3.4 и частью 1 статьи 4.11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«Артковер»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«Артковер» (далее – ООО «Артковер») оспаривает конституционность следующих положений Кодекса Российской Федерации об административных правонарушениях: части 2 статьи 3.4, согласно которой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2 чрезвычайных ситуаций природного и техногенного характера, а также при отсутствии имущественного ущерба; части 1 статьи 4.11, в соответствии с которой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данного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указанного Кодекса, за исключением случаев, предусмотренных частью 2 данной статьи. Как следует из представленных материалов, по результатам проведения таможенным органом внеплановой выездной таможенной проверки было установлено, что заявителем осуществляется хранение с целью последующей реализации населению приобретенного иностранного товара, не прошедшего таможенное оформление, в отношении которого не уплачены таможенные пошлины и налоги. В связи с этим постановлением судьи районного суда, оставленным без изменения вышестоящими судами, ООО «Артковер» признано виновным в совершении административного правонарушения, предусмотренного статьей 16.21 «Незаконные пользование товарами, их приобретение, хранение либо транспортировка» КоАП Российской Федерации, ему назначено административное наказание в виде административного штрафа в размере одной второй стоимости товаров, явившихся предметами административного правонарушения, а также их конфискации. Отклоняя доводы заявителя о необходимости замены административного наказания в виде административного штрафа предупреждением, суды указали на наличие имущественного ущерба, причиненного административным правонарушением. По мнению ООО «Артковер», оспариваемые нормы не соответствуют статьям 15 (части 1 и 2), 18, 19 (часть 1), 46 (часть 1) и 123 (часть 3) 3 Конституции Российской Федерации, поскольку позволяют судам произвольно устанавливать наличие имущественного ущерба и на этом основании необоснованно отказывать в замене назначенного административного наказания в виде административного штрафа на предупреждение.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реализуя свои полномочия в сфере публичной ответственности, обладает – как в части конструирования составов конкретных правонарушений, так и при определении вида и размера санкций, назначаемых за их совершение, – достаточно широкой дискрецией, которая тем не менее ограничена вытекающими из статей 1 (часть 1), 15 (части 1 и 2), 17 (часть 3), 19 (части 1 и 2), 46 (части 1 и 2), 49, 50 (часть 1), 54 и 55 (часть 3) Конституции Российской Федерации принципами и требованиями, образующими в совокупности исходные начала института ответственности в правовой системе Российской Федерации. В частности,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«Артковер»,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