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680672-П/2023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Зарипова Радика Рамиловича на нарушение его конституционных прав пунктом 1 части второй и частью третьей статьи 4125, статьей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Р.Р.Зарипова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Р.Р.Зарипов, которому письмами судей Верховного Суда Российской Федерации возвращались без рассмотрения надзорные жалобы на приговор и апелляционное определение, а также жалоба на ответ заместителя Председателя того же суда, утверждает, что пункт 1 части второй и часть третья статьи 4125 «Рассмотрение надзорных жалобы, представления», а также статья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УПК Российской Федерации противоречат статьям 2, 21 (часть 1), 45, 46 (часть 1), 50 (часть 2 3) и 55 (части 2 и 3) Конституции Российской Федерации. По мнению заявителя, оспариваемые нормы препятствуют осужденному в реализации его права на пересмотр постановленного в отношении него приговора вышестоящим судом, поскольку, в частности, позволяют судье Верховного Суда Российской Федерации единолично необоснованно отказывать в передаче надзорной жалобы для рассмотрения в судебном заседании Президиума этого суда, не предусматривают обязательного приведения доводов в обоснование такого решения, а также не допускают возможности обжаловать решение заместителя Председателя Верховного Суда Российской Федерации, который согласился с соответствующим единоличным решением судьи этого же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Зарипова Радика Рамиловича,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