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633097-П/2022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Назарова Геннадия Сафовича на нарушение его конституционных прав частью 2 статьи 9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подпунктом 1 пункта 1 статьи 20114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Г.С.Назарова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апелляционной инстанции определение арбитражного суда отменено в части разрешения разногласий между конкурсным управляющим застройщика и гражданином Г.С.Назаровым по вопросу о порядке учета в реестре требований кредиторов и удовлетворения требования заявителя об уплате процентов, предусмотренных частью 2 статьи 9 Федерального закона от 30 декабря 2004 года № 214-ФЗ «Об 2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Суд апелляционной инстанции указал, что упомянутые проценты являются мерой ответственности и что оценка доводов Г.С.Назарова относительно очередности учета его требования дана во вступившем в законную силу судебном акте. В передаче кассационной жалобы на данное постановление суда апелляционной инстанции и постановление суда кассационной инстанции, которым оно оставлено без изменения, для рассмотрения в судебном заседании Судебной коллегии по экономическим спорам Верховного Суда Российской Федерации было отказано. Г.С.Назаров просит признать противоречащей статьям 1 (часть 1), 4 (часть 2), 15 (части 1 и 2), 17, 19 (части 1 и 2) и 35 (часть 1) Конституции Российской Федерации часть 2 статьи 9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поскольку она позволяет судам считать предусмотренные ею проценты финансовой санкцией (мерой ответственности застройщика) и приводит к признанию требования по уплате этих процентов подлежащим удовлетворению после погашения основной суммы задолженности по требованиям всех кредиторов третьей очереди, включая не обеспеченные залогом. Кроме того, заявитель требует исключить правовую неопределенность в вопросе о том, относятся ли названные проценты к причитающимся процентам, упомянутым в подпункте 1 пункта 1 статьи 20114 «Погашение требований граждан – участников строительства по денежным обязательствам и особенности расчетов с кредиторами в случае реализации предмета залога в деле о банкротстве застройщика» Федерального закона от 26 октября 2002 года № 127-ФЗ «О несостоятельности (банкротстве)». Г.С.Назаров указывает, что 3 неопределенность этого положения с учетом нехватки имущества должника для удовлетворения требований кредиторов приводит к ущемлению прав кредитора по обеспеченному залогом требованию об уплате названных процентов при установлении очередности удовлетворения требований и в результате к тому, что такое требование не будет удовлетворено. Соответственно, заявитель фактически оспаривает конституционность данной нормы.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9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обеспечивающая защиту прав участников долевого строительства (определения Конституционного Суда Российской Федерации от 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Назарова Геннадия Сафовича,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