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709958-П/2023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«Аквил-инвест» на нарушение его конституционных прав подпунктом 4 пункта 1 статьи 387 и пунктом 1 статьи 965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общества с ограниченной ответственностью «Аквил-инвест»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«Аквил-инвест» (далее также – ООО «Аквил-инвест») оспаривает конституционность следующих положений Гражданского кодекса Российской Федерации: подпункта 4 пункта 1 статьи 387, предусматривающего, что права кредитора по обязательству переходят к другому лицу на основании закона при наступлении указанных в нем обстоятельств, в частности при суброгации страховщику прав кредитора к должнику, ответственному за наступление страхового случая; 2 пункта 1 статьи 965, закрепляющего, что, если договором имущественного страхования не предусмотрено иное, к страховщику, выплатившему страховое возмещение, переходит в пределах выплаченной суммы право требования, которое страхователь (выгодоприобретатель) имеет к лицу, ответственному за убытки, возмещенные в результате страхования; однако условие договора, исключающее переход к страховщику права требования к лицу, умышленно причинившему убытки, ничтожно. Из представленных материалов следует, что в деле о банкротстве гражданина П. определением арбитражного суда один из кредиторов заменен на правопреемника – ООО «Аквил-инвест». Ранее в этом деле постановлением арбитражного суда апелляционной инстанции в реестр требований кредиторов включено требование общества с ограниченной ответственностью к П. как к поручителю. Суд апелляционной инстанции отклонил довод ряда лиц (включая правопредшественника заявителя) о том, что требование общества, получившего страховое возмещение, не может быть включено в реестр. Суд указал, что в соответствии с условиями договора право требования переходит от страхователя к страховщику, выплатившему страховое возмещение, лишь после подписания сторонами соглашения об урегулировании страхового случая и что такое соглашение не подписано. В передаче кассационной жалобы на данное постановление арбитражного суда апелляционной инстанции и постановление суда кассационной инстанции, которым оно оставлено без изменения,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оспариваемые нормы противоречат статьям 17 (часть 1), 18, 19 (часть 1), 45 и 46 (часть 1) Конституции Российской Федерации, поскольку они не обеспечивают в равной степени прав и законных интересов всех лиц, участвующих в деле о банкротстве, и позволяют возлагать на поручителя ответственность за должника, причинившего убытки кредитору, который не имеет материально-правовых требований к поручителю. ООО «Аквил-инвест» утверждает, среди прочего, 3 что в конкретном деле с заявлением о включении требований в реестр кредиторов должен был обращаться страховщик, а не страхователь. Заявитель отмечает, что в результате применения пункта 1 статьи 965 ГК Российской Федерации и пункта 2 статьи 4 Федерального закона от 26 октября 2002 года № 127-ФЗ «О несостоятельности (банкротстве)» страхователь, получивший страховое возмещение и не имеющий требований к должнику (причинителю вреда), продолжает претендовать на получение денежных средств за счет его конкурсной массы. ООО «Аквил-инвест» ссылается на то, что страховщик утратил право на обращение в суд с требованием к основному должнику, в том числе и с заявлением о процессуальном правопреемстве. В качестве оспариваемой нормы в жалобе также назван абзац седьмой статьи 2 «Основные понятия, используемые в настоящем Федеральном законе» Федерального закона «О несостоятельности (банкротстве)». Кроме того, ООО «Аквил-инвест» указывает на нарушение конституционных прав иных конкурсных кредиторов и П. – должника в деле о банкротстве.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Обращенное к Конституционному Суду Российской Федерации требование, связанное с оценкой конституционности упомянутых заявителем положений Федерального закона «О несостоятельности (банкротстве)», в жалобе отсутствует. Что касается доводов о нарушении конституционных прав иных конкурсных кредиторов и П., то с учетом положений пункта 2 части первой статьи 38 и части второй статьи 53 Федерального конституционного закона «О Конституционном Суде Российской Федерации» ООО «Аквил-инвест» не может рассматриваться как представитель этих лиц в конституционном судопроизводстве. 4 Подпункт 4 пункта 1 статьи 387 ГК Российской Федерации обеспечивает стабильность гражданского оборота и упорядоченность обязательственных правоотношений при суброгации страховщику прав кредитора к должнику, ответственному за наступление страхового случая. Пункт 1 статьи 965 того же Кодекса с учетом конституционно значимого принципа свободы договора гарантирует защиту интересов страховщика, выплатившего страховое возмещение. Названные нормы сами по себе не могут расцениваться в качестве нарушающих конституционные права заявителя в обозначенном в жалобе аспекте. Установление же и исследование фактических обстоятельств конкретного дела, оценка доказательств, послуживших основанием для применения в нем тех или иных норм права и для вывода о том, что права кредитора не перешли к страховщику, выплатившему страховое возмещение, не относятся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«Аквил-инвест»,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