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770222-О/2024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«Светофор» на нарушение его конституционных прав статьями 48 и 77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«Светофор»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оставлено без удовлетворения административное исковое заявление общества с ограниченной ответственностью «Светофор» (далее также – ООО «Светофор») об оспаривании действий судебного пристава-исполнителя по изъятию принадлежащего должнику в исполнительном производстве – гражданину Т. автомобиля, помещенного ранее на принадлежащую административному истцу специализированную стоянку в связи с совершенным гражданином К. административным правонарушением. При этом судом были отклонены доводы заявителя о необходимости осуществления такого изъятия на 2 основании судебного акта в соответствии с предписаниями статьи 77 Федерального закона от 2 октября 2007 года № 229-ФЗ «Об исполнительном производстве» об обращении взыскания на имущество должника, находящееся у третьих лиц, на основании судебного акта или исполнительной надписи нотариуса, а также о лишении его вследствие такого изъятия прибыли, которую он мог бы получить в счет оказанных услуг по хранению транспортного средства. Как отметили суды, административный истец не является третьим лицом по смыслу указанной нормы и правоотношения, возникшие на основании договора оказания услуг по хранению задержанных транспортных средств между уполномоченным государственным органом и ООО «Светофор» в целях пресечения нарушения правил эксплуатации, использования транспортного средства и управления транспортным средством соответствующего вида, не могут препятствовать судебному приставу- исполнителю принимать меры по своевременному, полному и правильному исполнению исполнительных документов. Суды указали также, что обязанность по оплате услуг на основании договора хранения в данном случае лежит, в силу закона, на лице, привлеченном к административной ответственности, которое собственником задержанного транспортного средства и должником в исполнительном производстве не является. Апелляционное определение, отменившее решение суда первой инстанции, было, в свою очередь, отменено кассационным судом общей юрисдикции, оставившим указанное решение суда в силе.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Федерации. В связи с этим ООО «Светофор» оспаривает конституционность статьи 48 Федерального закона «Об исполнительном производстве», содержащей перечень лиц, участвующих в исполнительном производстве, и статьи 77 указанного Федерального закона об особенностях обращения взыскания на имущество должника, находящееся у третьих лиц. Данные законоположения не соответствуют, по его мнению, статьям 2 и 34 Конституции Российской 3 Федерации в связи с отсутствием в них толкования понятия «третьи лица в исполнительном производстве» и объема их прав в отношении спорного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«Светофор»,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