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759399-О/2024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Левадного Льва Николаевича на нарушение его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Л.Н.Левадного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Л.Н.Левадный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Как следует из представленных материалов, определением арбитражного апелляционного суда, оставленным судом кассационной инстанции без изменения, прекращено производство по апелляционной жалобе Л.Н.Левадного (контролирующего общество с ограниченной ответственностью лица) на решение арбитражного суда об отказе указанному обществу в признании недействительным решения налогового органа о 2 привлечении к налоговой ответственности. Суды исходили из того, что оспариваемое решение по спору между налогоплательщиком и уполномоченным органом непосредственно не затрагивает прав и обязанностей заявителя. Определением судьи Верховного Суда Российской Федерации, с которым согласился заместитель Председателя этого суда,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По мнению Л.Н.Левадного, оспариваемая норма противоречит статьям 19 (часть 1), 45 и 46 (часть 1) Конституции Российской Федерации в той мере, в какой по смыслу, придаваемому ей судебной практикой, она не допускает возможности обжалования лицом судебного акта, принятого без участия этого лица, по спору о признании недействительным решения налогового органа, которым установлены обстоятельства совершения хозяйственным обществом налогового правонарушения в период, когда такое лицо являлось контролирующим по отношению к данному обществу, притом что в связи с названными обстоятельствами в отношении указанного лица возбуждено уголовное дело, а также имеются основания для наступления в дальнейшем иных неблагоприятных для него последствий, в том числе возбуждения дела о банкротстве контролируемой организации, привлечения контролирующего лица к субсидиарной ответственности по ее обязательствам.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42 АПК Российской Федерации, предоставляя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создает условия для реализации такими лицами права на судебную защиту. При этом вопрос о том, затрагиваются ли судебным актом по конкретному 3 делу права и обязанности того или иного лица, и, соответственно, о возможности оспаривания им этого акта разрешается арбитражными судами исходя из фактических обстоятельств дела. Соблюдение процессуальных прав лиц обеспечивают предусмотренные названным Кодексом процедуры проверки судебных актов вышестоящими судами и основания для их отмены или изменения. Развивая установленные процессуальным законодательством гарантии права на судебную защиту в соответствии с выводами, изложенными в Постановлении Конституционного Суда Российской Федерации от 16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Левадного Льва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