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Маклаковой Марины Витальевны на нарушение ее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М.В.Маклаковой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М.В.Маклакова оспаривает конституционность следующих законоположений: статей 1 «Основные начала гражданского законодательства», 12 «Способы защиты гражданских прав» и 13 «Признание недействительным акта государственного органа или органа местного самоуправления» ГК Российской Федерации; статьи 55 «Доказательства», части первой статьи 56 «Обязанность доказывания», статей 84 «Порядок проведения экспертизы», 85 «Обязанности и права эксперта» и 86 «Заключение эксперта», части четвертой статьи 330 «Основания для отмены или изменения решения суда в апелляционном порядке» ГПК Российской Федерации; 2 части 3 статьи 22 «Требования к межевому плану», частей 1, 2 и 5 статьи 40 «Особенности осуществления государственного кадастрового учета и государственной регистрации прав в связи с созданием, реконструкцией, прекращением существования здания, сооружения, объекта незавершенного строительства» Федерального закона от 13 июля 2015 года № 218-ФЗ «О государственной регистрации недвижимости»; частей 1 и 3 статьи 39 «Порядок согласования местоположения границ земельных участков» Федерального закона от 24 июля 2007 года № 221-ФЗ «О кадастровой деятельности». Как следует из представленных материалов, апелляционным определением суда общей юрисдикции, с которым согласились суды кассационной инстанции, определена смежная граница принадлежащих заявительнице и гражданке А. земельных участков исходя из фактического ее местоположения. Суды приняли во внимание выводы землеустроительной экспертизы, согласно которым, помимо прочего, предложенный М.В.Маклаковой вариант расположения данных участков приведет к чересполосице и недопустимому вклиниванию, а также отметили, что границы ее участка не были установлены в соответствии с требованиями земельного законодательства; заявительница, настаивая на определенной конфигурации всего своего участка, с исковыми требованиями к другим смежным землепользователям не обращалась. По мнению М.В.Маклаковой, оспариваемые законоположения противоречат Конституции Российской Федерации, ее статьям 2, 17, 18, 19 (части 1–3), 45, 46 (части 1 и 2), 55 (части 2 и 3), 120 и 123 (часть 3), поскольку они не обеспечивают системного решения ряда вопросов, в том числе об оспаривании в суде результатов межевания земельных участков и распорядительных актов органов местного самоуправления, о допустимости принятия в качестве доказательства рецензии на заключение эксперта, а также позволяют судам цитировать правовые нормы вопреки их действительному содержанию.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Маклаковой Марины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