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734612-О/2023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Катаргина Игоря Ивановича на нарушение его конституционных прав пунктом 1 статьи 250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И.И.Катаргина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К. и оставленным без изменения постановлениями судов апелляционной и кассационной инстанций, было частично удовлетворено заявление гражданки М., являющейся супругой должника, о признании недействительными результата торгов по продаже недвижимого имущества, находящегося в совместной собственности супругов, договора купли-продажи, заключенного по результатам торгов с гражданином И.И.Катаргиным, и о переводе на нее прав и обязанностей покупателя; права и обязанности покупателя в отношении недвижимого имущества переведены с И.И.Катаргина на М., за нею 2 признано право собственности на данное имущество, в пользу И.И.Катаргина переведены денежные средства, потраченные им на приобретение недвижимого имущества, в удовлетворении остальной части заявления отказано. И.И.Катаргин оспаривает конституционность пункта 1 статьи 250 «Преимущественное право покупки» ГК Российской Федерации. По мнению заявителя, данное законоположение противоречит статьям 2, 17 (часть 3), 19 (части 1 и 2), 35 (части 1, 2 и 3) и 55 (часть 3) Конституции Российской Федерации в той мере, в какой оно в системе действующего правового регулирования по смыслу, придаваемому ему правоприменительной практикой, предоставляет участнику общей собственности преимущественное право на заключение договора купли- продажи земельного участка и расположенного на нем нежилого помещения, реализуемых на публичных торгах в рамках процедуры банкротства гражданина, а также предусматривает возможность его применения к правоотношениям, связанным с продажей объектов недвижимости, находящихся в общей совместной собственности.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250 ГК Российской Федерации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кроме случая продажи с публичных торгов, а также случаев продажи доли в праве общей собственности на общее имущество, указанных в пункте 2 статьи 2592 данного Кодекса; 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случаях, предусмотренных частью второй статьи 255 данного Кодекса, и в иных случаях, предусмотренных законом. 3 Данные положения, закрепляющие, в частности, преимущественное право покупки участником долевой собственности доли в праве общей собственности при ее продаже постороннему лицу, не регламентируют отношения, связанные с продажей имущества, находящегося в общей совместной собственности, и не могут расцениваться как нарушающие конституционные права заявителя, указанные в жалобе.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Катаргина Игоря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