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619837-П/2022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Чеченова Муаеда Гумаровича на нарушение его конституционных прав пунктами 1 и 5 статьи 395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М.Г.Чеченова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М.Г.Чеченов (индивидуальный предприниматель), которому постановлением арбитражного суда округа отказано в удовлетворении исковых требований о взыскании процентов за просрочку исполнения денежного обязательства, оспаривает конституционность следующих положений статьи 395 ГК Российской Федерации: пункта 1, согласно которому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2 пункта 5, предусматривающего, что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 Как следует из представленных материалов, заявитель на основании договора цессии приобрел права требования к Министерству строительства и жилищно-коммунального хозяйства Кабардино-Балкарской республики об уплате процентов за исполнение с просрочкой денежных обязательств, возложенных на Министерство вступившими в законную силу решениями арбитражных судов. Отменяя судебные акты первой и апелляционной инстанций, принятые в пользу М.Г.Чеченова, и отказывая ему в иске, арбитражный суд кассационной инстанции исходил из того, что начисление процентов на денежную сумму, присужденную судебными решениями, повлекло нарушение запрета на взимание сложных процентов (процентов на проценты) и нарушение принципа соразмерности гражданско-правовой ответственности. Арбитражный суд округа также отметил, что права кредитора были в полной мере восстановлены взысканием неустойки за период до момента оплаты долга. Определением судьи Верховного Суда Российской Федерации М.Г.Чеченову отказано в передаче кассационной жалобы для рассмотрения в судебном заседании Судебной коллегии по экономическим спорам указанного суда. По мнению заявителя, оспариваемые положения противоречат статьям 19 (часть 1) и 46 (часть 1) Конституции Российской Федерации в той мере, в какой они по смыслу, придаваемому им правоприменительной практикой, не допускают возможности взыскания процентов за пользование чужими денежными средствами вследствие просрочки исполнения денежного обязательства в виде договорной неустойки, возложенного на должника судебным актом.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Чеченова Муаеда Гумаровича,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