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788352-О/2024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Шпорта Виктора Алексеевича на нарушение его конституционных прав статьей 4014 Уголовно-процессуального кодекса Российской Федерации и статьей 15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В.А.Шпорта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кассационного суда общей юрисдикции жалоба гражданина В.А.Шпорта на вынесенные в его отношении приговор и апелляционное определение возвращена без рассмотрения. Заявителю сообщено, что поданное обращение не соответствует формальным требованиям, поскольку в нарушение установленного порядка жалоба направлена не через администрацию исправительного учреждения, соответствующее сопроводительное письмо отсутствует. Также заявителю разъяснено, что после устранения указанного недостатка он вправе вновь обратиться в суд кассационной инстанции. 2 В данной связи В.А.Шпорт просит признать не соответствующими Конституции Российской Федерации статью 4014 «Содержание кассационной жалобы, представления» УПК Российской Федерации и статью 15 «Обращения осужденных и порядок их рассмотрения» УИК Российской Федерации. По его утверждению, данные нормы нарушают его права, поскольку вследствие своей неопределенности позволяют судье суда кассационной инстанции произвольно возвращать без рассмотрения поданную жалобу по не предусмотренным в законе основаниям.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4015 УПК Российской Федерации, являясь частью механизма пересмотра вступивших в законную силу судебных решений в кассационном порядке, направленного не на ограничение, а, напротив, на обеспечение и защиту прав участников уголовного судопроизводства, на исправление судебных ошибок, в пункте 1 части первой предусматривает, что кассационные жалоба, представление возвращаются без рассмотрения, если они не отвечают требованиям, предусмотренным статьей 4014 данного Кодекса. В свою очередь, статья 4014 УПК Российской Федерации устанавливает, что кассационные жалоба, представление должны содержать наряду с прочим данные о лице, подавшем жалобу, представление, с указанием его места жительства или места нахождения, процессуального положения (пункт 2 части первой);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частях второй – второй2 статьи 4012 данного Кодекса (часть четвертая). При этом возвращение кассационной жалобы без рассмотрения – с учетом того что в статье 4015 УПК Российской Федерации установлен исчерпывающий перечень оснований для такого процессуального действия – не препятствует повторной подаче жалобы после устранения указанных в 3 законе недостатков и не лишает заинтересованное лицо права на рассмотрение его жалобы в суде кассационной инстанции по существу в установленном порядке, притом что при возврате обращения без рассмотрения какое-либо новое решение, по-иному определяющее права и обязанности сторон, не выносится (определения Конституционного Суда Российской Федерации от 27 марта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Шпорта Виктора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