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676433-П/2023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гражданки Ворониной Светланы Викторовны на нарушение ее конституционных прав частью первой статьи 1281 Уголовного кодекса Российской Федерации и пунктом 1 статьи 152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гражданки С.В.Ворониной вопрос о возможности принятия ее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С.В.Воронина, обращавшаяся в суд с исками о защите чести и достоинства, а также с заявлениями о привлечении к уголовной ответственности ряда лиц за совершение преступления, предусмотренного частью первой статьи 1281 «Клевета» УК Российской Федерации, просит признать эту же норму уголовного закона, а также пункт 1 статьи 152 «Защита чести, достоинства и деловой репутации» ГК Российской Федерации не соответствующими статьям 2, 17–19, 23, 24, 45, 46 и 52 Конституции Российской Федерации. По мнению заявительницы, оспариваемые положения не конкретизируют термины «умысел», «заведомость», «ложность», «добросовестное заблуждение», «оценочный 2 характер», позволяя толковать их в соответствии с постановлением Пленума Верховного Суда Российской Федерации от 24 февраля 2005 года № 3 «О судебной практике по делам о защите чести и достоинства граждан, а также деловой репутации граждан и юридических лиц».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Часть первая статьи 1281 УК Российской Федерации устанавливает уголовную ответственность за клевету, т.е. распространение заведомо ложных сведений, порочащих честь и достоинство другого лица или подрывающих его репутацию. Данная норма применяется во взаимосвязи с положениями Общей части данного Кодекса, устанавливающими, что лицо подлежит уголовной ответственности только за те общественно опасные действия (бездействие) и наступившие общественно опасные последствия, в отношении которых установлена его вина; объективное вменение, т.е. уголовная ответственность за невиновное причинение вреда, не допускается (статья 5); основанием уголовной ответственности выступает совершение деяния, содержащего все признаки состава преступления, предусмотренного данным Кодексом (статья 8). Лицо подлежит привлечению к уголовной ответственности лишь за указанные в уголовном законе действия (бездействие) и только тогда, когда оно осознавало общественную опасность своих действий (бездействия), предвидело возможность или неизбежность наступления общественно опасных последствий и желало их наступления (часть вторая статьи 25 данного Кодекса). Соответственно, нет оснований полагать, что названная норма содержит неопределенность в части признаков преступления. При этом для квалификации деяния как клеветы необходимо обязательное установление как общих признаков преступления (в том числе общественной опасности и противоправности), так и специальных признаков, включенных в состав клеветы (в том числе характеризующих его объективную и субъективную сторону).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гражданки Ворониной Светланы Викторовны,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