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665973-П/2023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Чернышовой Светланы Борисовны на нарушение ее конституционных прав положениями статей 209, 302, 308, 309, 310, 345, 346, 352, 353 и 398 Гражданского кодекса Российской Федерации, статей 2018 и 20111 Федерального закона «О несостоятельности (банкротстве)», постановлением Пленума Высшего Арбитражного Суда Российской Федерации «О некоторых вопросах разрешения споров, возникающих из договоров по поводу недвижимости, которая будет создана или приобретена в будущем», а также Обзором практики разрешения судами споров, возникающих в связи с участием граждан в долевом строительстве многоквартирных домов и иных объектов недвижимости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С.Б.Чернышовой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гражданина М. и оставленным без изменения постановлениями судов апелляционной и кассационной инстанций, требования гражданки С.Б.Чернышовой в сумме 1 350 000 руб. включены в третью очередь реестра 2 требований кредиторов должника. При этом, отказывая в признании у нее права требования о передаче жилого помещения, суды, в частности, пришли к выводу, что с учетом заключения С.Б.Чернышовой с должником договора не по правилам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ее обязательственное притязание к должнику не может быть противопоставлено интересам добросовестного третьего лица, о чьих правах залогодержателя ей могло и должно было быть известно. С.Б.Чернышова оспаривает конституционность положений статей 209, 302, 308, 309, 310, 345, 346, 352, 353 и 398 ГК Российской Федерации, статей 2018 и 20111 Федерального закона от 26 октября 2002 года № 127-ФЗ «О несостоятельности (банкротстве)», постановления Пленума Высшего Арбитражного Суда Российской Федерации от 11 июля 2011 года № 54 «О некоторых вопросах разрешения споров, возникающих из договоров по поводу недвижимости, которая будет создана или приобретена в будущем», а также Обзора практики разрешения судами споров, возникающих в связи с участием граждан в долевом строительстве многоквартирных домов и иных объектов недвижимости, утвержденного Президиумом Верховного Суда Российской Федерации 4 декабря 2013 года. По ее мнению, оспариваемые законоположения и акты противоречат статьям 2, 6, 8, 15, 17, 25, 35, 40 и 45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позволяют ущемлять права инвалидов и пенсионеров на единственное жилье. Кроме того, С.Б.Чернышова просит проверить статью 347 ГК Российской Федерации на соответствие отдельным положениям статей 345, 346, 352 и 353 того же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представленные С.Б.Чернышовой судебные акты, которыми ее требования были включены в третью очередь реестра требований кредиторов должника, не подтверждают применение оспариваемых положений федеральных законов. С момента же принятия судебного решения, которым исчерпываются внутригосударственные средства судебной защиты, по иному спору с ее участием, в рамках которого были применены отдельные оспариваемые положения, прошло более года, а потому ее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Чернышовой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