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765328-О/2024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«Плавит» на нарушение его конституционных прав подпунктом 2 пункта 3 статьи 45, пунктом 18 части второй статьи 250 и подпунктом 5 пункта 4 статьи 271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«Плавит»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«Плавит» (далее также – ООО «Плавит», Общество) оспаривает конституционность подпункта 2 пункта 3 (в жалобе ошибочно поименованного подпунктом 3 пункта 2) статьи 45 «Исполнение обязанности по уплате налога, сбора, страховых взносов», пункта 18 части второй статьи 250 «Внереализационные доходы» и подпункта 5 пункта 4 статьи 271 «Порядок признания доходов при методе начисления» Налогового кодекса Российской Федерации. Как следует из представленных материалов, вступившими в законную силу актами арбитражных судов отказано в удовлетворении требования ООО 2 «Плавит» о признании недействительным решения налогового органа. Данным решением Общество привлечено к налоговой ответственности и ему доначислены недоимка и пени, в том числе по налогу прибыль, поскольку, по мнению налогового органа, налогоплательщик должен был включить в налогооблагаемый внереализационный доход подлежащую списанию сумму кредиторской задолженности перед ликвидированным кредитором. Соглашаясь с позицией налогового органа, суды отклонили довод заявителя об отсутствии оснований для списания задолженности ввиду ее уступки кредитором третьему лицу, поскольку, как установили суды, у спорной уступки отсутствовали признаки реальной хозяйственной операции. По мнению ООО «Плавит», оспариваемые законоположения не соответствуют статьям 18, 19, 34, 35, 45, 46, 55 и 57 Конституции Российской Федерации, поскольку позволяют признавать внереализационным доходом налогоплательщика сумму кредиторской задолженности, которая в соответствии с гражданским законодательством не является погашенной и потому не подлежит списанию для целей налогообложения.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установив в Налоговом кодексе Российской Федерации налог на прибыль организаций (глава 25), определил порядок учета доходов и расходов налогоплательщика для целей исчисления и уплаты данного налога. К доходам относятся доходы от реализации товаров (работ, услуг) и имущественных прав, а также внереализационные доходы (пункт 1 статьи 248). К внереализационным доходам налогоплательщика относятся суммы его задолженности перед кредиторами в случае списания данных сумм в связи с истечением срока исковой давности или по другим основаниям (пункт 18 части второй статьи 250). При этом по общему правилу, установленному в статье 271 данной главы и распространяющемуся в силу ее пункта 4 в том числе на внереализационные доходы, доходы признаются полученными в том отчетном (налоговом) 3 периоде, в котором они имели место, независимо от фактического поступления денежных средств, иного имущества (работ, услуг) или имущественных прав (метод начисления). В свою очередь, наличие юридически значимых обстоятельств, свидетельствующих о прекращении обязательства налогоплательщика перед кредитором, если они имеют гражданско-правовой характер, подлежит установлению с учетом норм гражданского законодательства. В частности, обязательство прекращается ликвидацией юридического лица (должника или кредитора), кроме случаев, когда законом или иными правовыми актами исполнение обязательства ликвидированного юридического лица возлагается на другое лицо (статья 419 ГК Российской Федерации). В случае же если после списания налогоплательщиком сумм кредиторской задолженности возникнут обстоятельства, указывающие на то, что списанная задолженность подлежит исполнению, налогоплательщик не лишен возможности скорректировать свои налоговые обязательства в установленном порядке (пункт 1 статьи 252 и статья 265 Налогового кодекса Российской Федерации). Таким образом, пункт 18 части второй статьи 250 и подпункт 5 пункта 4 статьи 271 Налогового кодекса Российской Федерации, определяющие содержание внереализационных доходов налогоплательщика и момент их получения для целей исчисления налоговой базы по налогу на прибыль, действуют в системе норм налогового и гражданского законодательства и не предполагают произвольного применения. Соответственно, они не могут расцениваться как нарушающие в указанном в жалобе аспекте конституционные права заявителя, которому доначисление недоимки по налогу, согласно представленным судебным актам, было вызвано установлением признаков фиктивности уступки кредиторской задолженности. Что касается оспариваемого ООО «Плавит» подпункта 2 пункта 3 статьи 45 названного Кодекса, то он, в исключение из общего внесудебного порядка взыскания налогов с организаций, предусматривает судебный порядок такого взыскания в случае, если обязанность организации по уплате 4 налога основана на изменении налоговым органом юридической квалификации сделки, совершенной этим налогоплательщиком, или статуса и характера его деятельности. Следовательно, данное законоположение, устанавливающее дополнительные гарантии защиты прав налогоплательщиков, также не нарушает конституционные права заявителя. Проверка же обоснованности правоприменительных решений, в том числе в части определения размера налоговой обязанности конкретного налогоплательщика,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«Плавит»,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