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Куджаева Эльмана Магомедхановича на нарушение его конституционных прав частью первой статьи 11, частями первой и второй статьи 16, пунктом 3 части второй статьи 38917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Э.М.Куджаева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августа 2021 года гражданину Э.М.Куджаеву отказано в передаче для рассмотрения в судебном заседании Президиума этого суда надзорной жалобы на кассационное определение Судебной коллегии по уголовным делам Верховного Суда Российской Федерации от 15 февраля 2007 года, которым оставлен без изменения вынесенный в его отношении приговор республиканского суда. При этом отмечено, что с кассационными жалобами адвокатов О. и А., принимавших личное участие в заседании суда 2 кассационной инстанции, Э.М.Куджаев был ознакомлен; изложенные в жалобах позиции не противоречили как друг другу, так и интересам осужденного; ходатайств о желании участвовать в заседании суда кассационной инстанции Э.М.Куджаев не заявлял. В этой связи заявитель утверждает, что часть первая статьи 11 «Охрана прав и свобод человека и гражданина в уголовном судопроизводстве», части первая и вторая статьи 16 «Обеспечение подозреваемому и обвиняемому права на защиту», пункт 3 части второй статьи 38917 «Существенные нарушения уголовно-процессуального закона» и часть первая статьи 4129 «Основания отмены или изменения судебных решений в порядке надзора» УПК Российской Федерации не соответствуют статьям 45, 46 и 123 (часть 3) Конституции Российской Федерации, поскольку не позволяют расценивать в качестве существенного нарушения закона, влекущего безусловную отмену судебного решения, рассмотрение судом кассационной (второй) инстанции поданных защитниками жалоб без обеспечения личного участия осужденного.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закрепляющие в качестве принципов уголовного судопроизводства охрану прав и свобод человека и гражданина (статья 11), а также обеспечение подозреваемому и обвиняемому права на защиту (статья 16), носят гарантийный характер, направлены на обеспечение конституционных прав граждан в сфере уголовного судопроизводства и потому не могут расцениваться как нарушающие права заявителя. Согласно части первой статьи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3 условий и невыполнении им обязательств, предусмотренных досудебным соглашением о сотрудничестве.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Куджаева Эльмана Магомедхановича,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