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673505-П/2023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Зудова Юрия Михайловича на нарушение его конституционных прав статьями 301 и 303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Ю.М.Зудова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Ю.М.Зудов, которому принадлежит доля в праве собственности на жилое помещение, оспаривает конституционность следующих положений Гражданского кодекса Российской Федерации: статьи 301, предусматривающей, что собственник вправе истребовать свое имущество из чужого незаконного владения; статьи 303, закрепляющей, что 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2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 (часть первая); 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 (часть вторая); 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 (часть третья). Как следует из представленных материалов, постановлением суда первой инстанции, с которым согласились вышестоящие суды, частично удовлетворены требования Ю.М.Зудова, предъявленные в том числе к гражданке Р., связанные с устранением нарушения прав собственника, истребованием имущества из чужого незаконного владения и взысканием денежных средств. При этом суд пришел к выводу об отсутствии оснований для удовлетворения требований об истребовании из чужого незаконного владения мест общего пользования, взыскании убытков, упущенной выгоды и извлеченного дохода в порядке, предусмотренном статьей 303 ГК Российской Федерации. Ю.М.Зудов просит</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Зудова Юрия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