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577846-П/2021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Окова Александра Геннадьевича на нарушение его конституционных прав частью 2 статьи 26.2 и частью 3 статьи 28.2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гражданина А.Г.Окова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А.Г.Оков оспаривает конституционность следующих положений Кодекса Российской Федерации об административных правонарушениях: части 2 статьи 26.2, в соответствии с которой доказательства по делу об административном правонарушении устанавливаются протоколом об административном правонарушении, иными протоколами, предусмотренными данным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2 части 3 статьи 28.2, в силу которой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данным Кодексом, о чем делается запись в протоколе. Как следует из представленных материалов, постановлением мирового судьи, оставленным без изменения судами вышестоящих инстанций, А.Г.Оков был привлечен к административной ответственности за совершение административного правонарушения, выразившегося в отказе от прохождения медицинского освидетельствования на состояние опьянения (часть 1 статьи 12.26 КоАП Российской Федерации), и ему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восемь месяцев. При этом суды пришли к выводу, что собранные по делу доказательства, в том числе видеозапись, на которой было зафиксировано производство процессуальных действий в отношении А.Г.Окова, указывают на совершение им административного правонарушения и отклонили довод заявителя о том, что ему не были надлежащим образом разъяснены его права. По мнению заявителя, оспариваемые положения Кодекса Российской Федерации об административных правонарушениях не соответствуют статьям 2, 15, 17 (часть 1), 18, 19 (части 1 и 2), 21, 24 (часть 2), 45, 46 (часть 1), 49, 50 (часть 2), 51 (часть 1), 55, 56 (часть 3) и 123 (часть 3) Конституции Российской Федерации, поскольку позволяют на основании доказательств, полученных с нарушением закона, признавать граждан виновными в совершении административного правонарушения.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Положения статьи 26.2 КоАП Российской Федерации предусматривают,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(часть 1); эти данные устанавливаются протоколом об административном правонарушении, иными протоколами, предусмотренными данным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(часть 2). При этом согласно части 3 названной статьи не допускается использование доказательств по делу об административном правонарушении, если указанные доказательства получены с нарушением закона. Что касается части 3 статьи 28.2 КоАП Российской Федерации, устанавливающей правило о разъяснении участникам производства по делу об административном правонарушении их прав и обязанностей, предусмотренных данным Кодексом, и внесении записи об этом в протокол, то она по своему содержанию направлена на создание надлежащего процессуального механизма защиты прав лица, в отношении которого ведется производство по делу об административном правонарушении (определения Конституционного Суда Российской Федерации от 23 ноября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Окова Александра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