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757782-О/2024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Кононова Федора Константиновича на нарушение его конституционных прав абзацами пятым и десятым части первой статьи 446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Ф.К.Кононова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Ф.К.Кононов оспаривает конституционность положений части первой статьи 446 ГПК Российской Федерации, в соответствии с которыми взыскание по исполнительным документам не может быть обращено на принадлежащие гражданину-должнику на праве собственности: имущество, необходимое для профессиональных занятий гражданина-должника, за исключением предметов, стоимость которых превышает десять тысяч рублей (абзац пятый); средства транспорта и другое необходимое гражданину- должнику в связи с его инвалидностью имущество (абзац десятый). Как следует из представленных материалов, решением мирового судьи с заявителя в пользу гражданки Р. взысканы алименты на содержание 2 несовершеннолетнего ребенка в твердой денежной сумме. В связи с наличием задолженности по уплате алиментов судебным приставом-исполнителем было обращено взыскание на принадлежащий должнику автомобиль. Заявитель обратился в суд общей юрисдикции с административным исковым заявлением об оспаривании постановления судебного пристава-исполнителя о передаче автомобиля на реализацию, утверждая, что данный автомобиль зарегистрирован в федеральном реестре инвалидов, используется для перевозки ребенка-инвалида, а также для профессиональной деятельности в качестве торгового представителя, без осуществления которой невозможно исполнять возложенные решением суда обязанности по уплате алиментов. Решением суда, оставленным без изменения судами апелляционной и кассационной инстанций, в удовлетворении данного заявления отказано. Определением судьи Верховного Суда Российской Федерации отказано в передаче кассационной жалобы Ф.К.Кононова для рассмотрения в судебном заседании Судебной коллегии по административным делам Верховного Суда Российской Федерации. По мнению заявителя, абзац пятый части первой статьи 446 ГПК Российской Федерации противоречит статье 37 (часть 1) Конституции Российской Федерации, поскольку он допускает изъятие у должника необходимого для его профессиональных занятий имущества, стоимость которого превышает десять тысяч рублей. Абзац десятый части первой указанной статьи, как полагает заявитель, не соответствует статье 7 (часть 1) Конституции Российской Федерации, поскольку он позволяет изымать у должника транспортное средство, используемое им для перевозки находящегося у него на иждивении ребенка-инвалида, а также инвалидов I и II группы.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Кононова Федора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