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733985-О/2023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Кужеля Сергея Эдуардовича на нарушение его конституционных прав абзацем шестым пункта 152 и подпунктом «е» пункта 161 статьи 12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С.Э.Кужеля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С.Э.Кужель оспаривает конституционность абзаца шестого (в жалобе назван абзацем пятым) пункта 152 и подпункта «е» пункта 161 статьи 12 «Порядок осуществления страхового возмещения причиненного потерпевшему вреда» Федерального закона от 25 апреля 2002 года № 40-ФЗ «Об обязательном страховании гражданской ответственности владельцев транспортных средств». Как следует из представленных материалов, в результате дорожно- транспортного происшествия транспортному средству, принадлежащему заявителю, причинены механические повреждения. С.Э.Кужель 2 воспользовался правом на страховое возмещение в форме страховой выплаты, поскольку ни одна из станций технического обслуживания, с которыми у страховщика заключены договоры на организацию восстановительного ремонта, не соответствовала требованиям к его организации в отношении поврежденного автомобиля. Страховая организация определила сумму возмещения с учетом износа подлежащих замене комплектующих изделий (деталей, узлов, агрегатов). Заявитель обратился к финансовому уполномоченному, а затем в суд с требованием о взыскании доплаты страхового возмещения в размере, необходимом для полного возмещения причиненного вреда. Решением суда общей юрисдикции, с которым согласились суды вышестоящих инстанций, в удовлетворении иска отказано. По мнению С.Э.Кужеля, оспариваемые положения противоречат статьям 35 (часть 1), 48 (часть 1) и 55 (часть 3) Конституции Российской Федерации, поскольку они позволяют определять размер страховой выплаты с учетом износа подлежащих замене комплектующих изделий, в том числе в случае, когда на автомобиль распространяется требование по сохранению гарантийных обязательств производителя, но у страховщика не заключен договор на организацию восстановительного ремонта с соответствующей станцией технического обслуживания, а также допускают возможность замены формы страхового возмещения на страховую выплату путем проставления отметки в заявлении о наступлении страхового события без разъяснения потерпевшему последствий такого выбора.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Кужеля Сергея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