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772628-О/2024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Крысанова Максима Николаевича на нарушение его конституционных прав пунктами 1 и 4 статьи 421 Гражданского кодекса Российской Федерации, а также частью 1 статьи 4 и частью 1 статьи 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М.Н.Крысанова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М.Н.Крысанов оспаривает конституционность пунктов 1 и 4 статьи 421 «Свобода договора» ГК Российской Федерации, а также части 1 статьи 4 «Договор участия в долевом строительстве» и части 1 статьи 5 «Цена договора»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2 Как следует из представленных материалов, решением суда общей юрисдикции, оставленным без изменения определением суда апелляционной инстанции, М.Н.Крысанову в удовлетворении исковых требований о взыскании излишне выплаченных сумм по договору участия в долевом строительстве, неустойки, компенсации морального вреда, штрафа отказано. Суд апелляционной инстанции указал, что фактическая площадь объекта, упоминаемая в договоре, должна быть определена без учета перегородок.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статьям 17 (часть 3), 35 (части 1 и 2) и 40 (часть 1) Конституции Российской Федерации, поскольку они по смыслу, придаваемому им правоприменительной практикой, предоставляют застройщику право возлагать на участника долевого строительства бремя оплаты площади квартиры, предусмотренной для межкомнатных перегородок.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Крысанова Максима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