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795748-О/2024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«Центральный Дом Мебели» на нарушение его конституционных прав абзацем первым пункта 3 статьи 1079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«Центральный Дом Мебели»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«Центральный Дом Мебели» (далее также – ООО «Центральный Дом Мебели») оспаривает конституционность абзаца первого пункта 3 статьи 1079 ГК Российской Федерации, согласно которому владельцы источников повышенной опасности солидарно несут ответственность за вред, причиненный в результате взаимодействия этих источников (столкновения транспортных средств и т.п.) третьим лицам по основаниям, предусмотренным пунктом 1 данной статьи. Как следует из представленных материалов, определением суда апелляционной инстанции, с которым согласились вышестоящие суды, с 2 непосредственного виновника дорожно-транспортного происшествия, ответственность которого не была застрахована, взыскано возмещение вреда, причиненного собственнику рекламной конструкции – ООО «Центральный Дом Мебели». Тот же суд не нашел правовых оснований для возложения обязанности по возмещению вреда на иных лиц, в том числе на владельца другого транспортного средства, участвовавшего в дорожно-транспортном происшествии, и страховщика его гражданской ответственности, исходя из того, что объем прав и обязанностей страховщика и причинителя вреда различен и что законом не предусмотрена их солидарная ответственность. По мнению заявителя, оспариваемая норма не соответствует статьям 8 (часть 2), 17 (часть 3), 19 (части 1), 35 (части 1, 2 и 3), 46 (часть 1) и 55 Конституции Российской Федерации, поскольку допускает правовую неопределенность в вопросе о возмещении ущерба, причиненного третьему лицу в результате взаимодействия транспортных средств, владельцами этих источников повышенной опасности в солидарном порядке, тем самым позволяя освобождать таких владельцев и их страховщиков от гражданско- правовой ответственности в солидарном порядке в случае, когда гражданская ответственность одного из владельцев не была застрахована.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Деятельность, связанная с использованием источника повышенной опасности, создающая риск повышенной опасности для окружающих, обусловливает и повышенную ответственность владельцев источников повышенной опасности (независимо от наличия их вины) в наступлении неблагоприятных последствий для третьих лиц, что не противоречит статье 55 (часть 3) Конституции Российской Федерации, допускающей ограничение конституционных прав и свобод федеральным законом в целях защиты здоровья, прав и законных интересов других лиц (Определение Конституционного Суда Российской Федерации от 23 июня 2005 года № 261- О). 3 Абзац первый пункта 3 статьи 1079 ГК Российской Федерации закрепляет, что владельцы источников повышенной опасности солидарно несут ответственность за вред, причиненный в результате взаимодействия этих источников (столкновения транспортных средств и т.п.) третьим лицам по основаниям, предусмотренным пунктом 1 данной статьи, устанавливающей общее правило о безвиновной ответственности юридических лиц и граждан, деятельность которых связана с повышенной опасностью для окружающих. В силу указанных положений названные лица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потерпевшего; владелец источника повышенной опасности может быть освобожден судом от ответственности полностью или частично также по основаниям, предусмотренным пунктами 2 и 3 статьи 1083 данного Кодекса. Оспариваемая норма, закрепляющая один из случаев отступления от принципа вины причинителя вреда и направленная на защиту прав потерпевших в деликтных обязательствах, не препятствует возложению солидарной ответственности за вред, причиненный третьему лицу в результате взаимодействия источников повышенной опасности, не содержит неопределенности и не может сама по себе расцениваться в качестве нарушающей в указанном в жалобе аспекте конституционные права заявителя. Проверка же правильности выбора правовых норм и их применения судами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«Центральный Дом Мебели»,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