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Самарцева Алексея Анатольевича на нарушение его конституционных прав статьями 388 и 3881 Гражданского кодекса Российской Федерации, статьями 101, 106, 110 и 112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А.А.Самарцева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А.А.Самарцев, которому отказано во взыскании расходов на оплату услуг представителя, оспаривает конституционность статей 388 «Условия уступки требования» и 3881 «Уступка будущего требования» ГК Российской Федерации, статей 101 «Состав судебных расходов», 106 «Судебные издержки», 110 «Распределение судебных расходов между лицами, участвующими в деле» и 112 «Разрешение вопросов о судебных расходах» АПК Российской Федерации. По мнению заявителя, оспариваемые положения не соответствуют статьям 17, 19, 35, 45, 46, 47 и 55 Конституции Российской Федерации в той 2 мере, в какой по смыслу, придаваемому им правоприменительной практикой, служат основанием для отказа во взыскании уступленных как право требования расходов на оплату услуг представителя.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388 ГК Российской Федерации направлены на обеспечение справедливого баланса интересов цедента, цессионария и должника в обязательстве, на поддержание стабильности гражданского оборота и упорядоченности обязательственных правоотношений (определения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Самарцева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