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722928-П/2023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октября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«Металлпром» на нарушение его конституционных прав абзацем вторым пункта 6 статьи 367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акционерного общества «Металлпром»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Акционерное общество «Металлпром» (далее также – АО «Металлпром») оспаривает конституционность абзаца второго пункта 6 статьи 367 ГК Российской Федерации, предусматривающего, что 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 Как следует из представленных материалов, постановлением суда апелляционной инстанции отменено решение арбитражного суда, принятое после направления дела на новое рассмотрение судом кассационной 2 инстанции, и по требованию залогодержателя обращено взыскание на недвижимое имущество, заложенное АО «Металлпром» по договору об ипотеке в обеспечение исполнения обязательств общества с ограниченной ответственностью, признанного впоследствии банкротом. Суд апелляционной инстанции указал, что срок действия договора об ипотеке сторонами не установлен и что залогодержатель потребовал обратить взыскание на предмет залога в пределах годичного срока, исчисляемого со дня наступления срока исполнения основного обязательства, определенного в договоре между ним и должником по основному обязательству. Суд, сославшись в том числе на содержащиеся в постановлении Пленума Верховного Суда Российской Федерации от 24 декабря 2020 года № 45 «О некоторых вопросах разрешения споров о поручительстве» разъяснения, подчеркнул, что признание должника банкротом не сокращает срока существования залога. В передаче кассационной жалобы на названное постановление суда апелляционной инстанции и постановление суда кассационной инстанции, которым оно оставлено без изменения, для рассмотрения в судебном заседании Судебной коллегии по экономическим спорам Верховного Суда Российской Федерации было отказано. По мнению заявителя, оспариваемое положение противоречит статьям 34 (часть 1), 35 (части 1 и 2) и 46 (часть 1) Конституции Российской Федерации, поскольку по смыслу, придаваемом ему в пункте 44 постановления Пленума Верховного Суда Российской Федерации «О некоторых вопросах разрешения споров о поручительстве», оно не позволяет исчислять годичный срок для предъявления требования к поручителю (и, соответственно, залогодателю, не являющемуся должником по основному обязательству) с даты открытия конкурсного производства в отношении должника по основному обязательству. АО «Металлпром» исходит из того, что абзацем вторым пункта 6 статьи 367 ГК Российской Федерации не охватывается ситуация, в которой срок исполнения основного обязательства в силу закона считается наступившим ранее, чем предусмотрено условиями этого обязательства, и что Пленумом Верховного Суда Российской 3 Федерации создана новая норма. В жалобе также указано, что оспариваемая норма в названном истолковании противоречит пункту 1 статьи 126 Федерального закона от 26 октября 2002 года № 127-ФЗ «О несостоятельности (банкротстве)».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Производность и зависимость залогового правоотношения от основного обязательства, обусловленные назначением залога – обеспечивать исполнение основного обязательства в соответствии с принципом равенства и согласования воли сторон, свидетельствуют о том, что обеспечение исполнения основного обязательства на первоначально согласованных с залогодателем условиях – при изменении условий исполнения основного обязательства (в частности, срока его исполнения) – само по себе не может сделать его существенно более обременительным для залогодателя, чем изначально принятое им на себя обязательство, предполагающее возможность наступления неблагоприятных для него последствий в случае неисполнения основного обязательства должником (Определение Конституционного Суда Российской Федерации от 28 июня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«Металлпром»,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