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608816-П/2022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Парамонова Евгения Викторовича на нарушение его конституционных прав частями второй и третьей статьи 3892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Е.В.Парамонова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Письмами судей районного суда, кассационного суда общей юрисдикции, а также Верховного Суда Российской Федерации гражданину Е.В.Парамонову возвращены без рассмотрения жалобы на принятые в ходе производства в суде первой инстанции решения об отказе в удовлетворении его ходатайства об изменении меры пресечения на иную, не связанную с содержанием под стражей. При этом разъяснено, что данные судебные решения не подлежат самостоятельному обжалованию и могут быть проверены только наряду с итоговым решением по уголовному делу. 2 В этой связи Е.В.Парамонов просит признать не соответствующими статьям 22, 45 и 46 Конституции Российской Федерации части вторую и третью статьи 3892 «Судебные решения, подлежащие апелляционному обжалованию» УПК Российской Федерации, поскольку они препятствуют самостоятельному обжалованию решения суда об отказе в удовлетворении ходатайства стороны защиты об изменении меры пресечения в виде заключения под стражу на иную, более мягкую, меру до принятия судом итогового решения по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Парамонова Евгения Викторовича,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