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Кочубея Алексея Николаевича на нарушение его конституционных прав статьями 345, 347, 350 и 351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А.Н.Кочубея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А.Н.Кочубей оспаривает конституционность положений статей 345 «Суды, пересматривающие судебные акты по новым или вновь открывшимся обстоятельствам», 347 «Форма и содержание заявления, представления о пересмотре судебного акта по новым или вновь открывшимся обстоятельствам и прилагаемые к ним документы», 350 «Основания для пересмотра судебных актов по новым или вновь открывшимся обстоятельствам» и 351 «Судебные акты, принимаемые судом по результатам рассмотрения заявления, представления о пересмотре судебного акта по новым или вновь открывшимся обстоятельствам» КАС Российской Федерации. 2 Как следует из представленных материалов, определением судьи Верховного Суда Российской Федерации от 29 сентября 2023 года А.Н.Кочубею было возвращено его заявление о пересмотре определения судьи Верховного Суда Российской Федерации от 20 сентября 2022 года (об отказе в принятии административного искового заявления) по новым обстоятельствам в связи с тем, что Определение Конституционного Суда Российской Федерации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Кочубея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