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734611-О/2023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Гетмана Павла Николаевича на нарушение его конституционных прав пунктом 1 статьи 10, абзацем четырнадцатым статьи 12 Гражданского кодекса Российской Федерации, пунктом 1 статьи 50 Федерального закона «Об ипотеке (залоге недвижимости)», пунктом 1 статьи 1 и статьей 2133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П.Н.Гетмана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индивидуальный предприниматель – гражданин П.Н.Гетман по заявлению банка (кредитор, чьи требования обеспечиваются залогом имущества должника) был признан несостоятельным (банкротом), в отношении него введена процедура реализации имущества гражданина, утвержден финансовый управляющий. В рамках того же дела определением арбитражного суда, 2 оставленным без изменения постановлениями судов апелляционной и кассационной инстанций, было отказано в удовлетворении заявления П.Н.Гетмана о признании недействительным договора кредитной линии, заключенного между ним и банком. П.Н.Гетман оспаривает конституционность пункта 1 статьи 10 «Пределы осуществления гражданских прав», абзаца четырнадцатого статьи 12 «Способы защиты гражданских прав» ГК Российской Федерации, пункта 1 статьи 50 «Основания обращения взыскания на заложенное имущество» Федерального закона от 16 июля 1998 года № 102-ФЗ «Об ипотеке (залоге недвижимости)», пункта 1 статьи 1 «Отношения, регулируемые настоящим Федеральным законом» и статьи 2133 «Возбуждение производства по делу о банкротстве гражданина»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7 (часть 1), 8, 15, 17 (части 1 и 3), 18, 19 (части 1 и 2), 34 (часть 1), 35 (части 1– 3), 45, 46 (части 1 и 2) и 55 (части 2 и 3) Конституции Российской Федерации в той мере, в какой они как по своему буквальному смыслу, так и по смыслу, придаваемому им правоприменительной практикой, предоставляют кредиторам-залогодержателям право избирать ненадлежащий способ защиты своих прав и использовать процедуру банкротства с целью, противоречащей основам публичного правопорядка и ее конституционной сущности.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Гетмана Павла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