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765550-О/2024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Реутт Натальи Анатольевны на нарушение ее конституционных прав пунктом 1 статьи 302 и пунктом 1 статьи 454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Н.А.Реутт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Н.А.Реутт оспаривает конституционность следующих положений Гражданского кодекса Российской Федерации: пункта 1 статьи 302, в соответствии с которым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2 пункта 1 статьи 454, предусматривающего, что по договору купли- 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Как следует из представленных материалов, решением суда общей юрисдикции, оставленным без изменения определением суда апелляционной инстанции, исковые требования Н.А.Реутт к гражданам Т., Б. и другим о признании договоров купли-продажи автомобилей недействительными и применении последствий их недействительности оставлены без удовлетворения; по встречному иску к заявительнице Т. признана добросовестным приобретателем; по самостоятельному иску Б. к заявительнице он признан добросовестным приобретателем.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Конституции Российской Федерации, поскольку они по смыслу, придаваемому им правоприменительной практикой, не содержат условий, при которых невозможно отчуждение движимого имущества лицом, не являющимся его собственником и не обладающим правами на его отчуждение, в пользу иных лиц, и предоставляют лицу, действующему без документов и волеизъявления собственника, возможность отчуждать движимое имущество собственника в пользу третьих лиц, а также дают право третьим лицам – добросовестным приобретателям – злоупотреблять своими правами и не проверять законность совершаемой сделки в случае приобретения движимого имущества у лица, явно не являющегося собственником такого имущества.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1 статьи 454 ГК Российской Федерации, определяющий понятие договора купли-продажи, будучи нормой-дефиницией, направлен на конкретизацию соответствующих правовых отношений. Положения статьи 302 ГК Российской Федерации, ограничивающей в целях защиты добросовестного приобретателя перечень оснований, которые дают право собственнику истребовать у такого приобретателя имущество, по своему конституционно-правовому смыслу, выявленному в Постановлении Конституционного Суда Российской Федерации от 21 апреля 2003 года № 6- П, направлены на обеспечение стабильности гражданского оборота и установление баланса прав и законных интересов всех его участников (определения Конституционного Суда Российской Федерации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Реутт Натальи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