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573365-П/2021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Мармура Павла Павловича на нарушение его конституционных прав пунктом 7 части второй статьи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П.П.Мармура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П.П.Мармур, в отношении которого по правилам статьи 255 УПК Российской Федерации продлевался срок содержания под стражей, утверждает, что пункт 7 части второй статьи 38917 «Существенные нарушения уголовно-процессуального закона» УПК Российской Федерации противоречит статьям 21 (часть 1), 22, 45 и 46 Конституции Российской Федерации, поскольку позволяет не признавать существенным нарушением уголовно- процессуального закона непредоставление последнего слова подсудимому в судебном заседании суда апелляционной инстанции, на котором 2 рассматривается жалоба на постановление суда первой инстанции о продлении срока содержания под стражей подсудимого.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Мармура Павла Павловича,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