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699565-П/2023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июля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«Экотехпром» на нарушение его конституционных прав подпунктом 6 пункта 1 статьи 1393 Налогового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В.А.Сивицкого, рассмотрев вопрос о возможности принятия жалобы общества с ограниченной ответственностью «Экотехпром»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Общество с ограниченной ответственностью «Экотехпром» (далее – ООО «Экотехпром») оспаривает конституционность подпункта 6 пункта 1 статьи 1393 Налогового кодекса Российской Федерации, в соответствии с которым вышестоящий налоговый орган оставляет без рассмотрения жалобу налогоплательщика полностью или в части, если установит, что до принятия решения по жалобе налоговый спор о том же предмете и по тем же основаниям был разрешен судом. Как следует из представленных материалов, актами арбитражных судов ООО «Экотехпром» отказано в признании недействительным решения 2 Федеральной налоговой службы от 16 декабря 2021 года, оставившего без рассмотрения его жалобу на решение Управления Федеральной налоговой службы по городу Москве, принятое по жалобе заявителя на решение налоговой инспекции, в связи с разрешением налогового спора о том же предмете и по тем же основаниям судом. Суды установили, что 15 декабря 2021 года была оглашена резолютивная часть решения Арбитражного суда города Москвы, которым заявителю отказано в признании недействительным решения Управления Федеральной налоговой службы по городу Москве, при этом данное решение суда было оставлено постановлением суда апелляционной инстанции без изменений и вступило в законную силу 31 марта 2022 года. Суды также указали, что заявленное ООО «Экотехпром» требование к Федеральной налоговой службе, по существу, направлено на преодоление вступившего в законную силу судебного акта, состоявшегося не в его пользу. По мнению заявителя, оспариваемое законоположение противоречит статьям 45, 46 и 49 Конституции Российской Федерации, поскольку по смыслу, придаваемому ему правоприменительной практикой, позволяет Федеральной налоговой службе оставлять без рассмотрения жалобу налогоплательщика после оглашения резолютивной части решения суда по налоговому спору о том же предмете и по тем же основаниям, т.е. до изготовления решения в полном объеме.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«Экотехпром»,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