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733421-О/2023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«Мастер осанки» на нарушение его конституционных прав подпунктом 1 пункта 2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«Мастер осанки»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«Мастер осанки» (далее также – ООО «Мастер осанки») оспаривает конституционность подпункта 1 пункта 2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Из представленных материалов следует, что в деле о банкротстве хозяйственного общества определением арбитражного суда, оставленным судами вышестоящих инстанций без изменения, ООО «Мастер осанки», связанное с должником по критерию общности руководителя и единственного 2 участника (учредителя), отнесенное к контролирующим должника лицам как лицо, извлекавшее выгоду из недобросовестного поведения общего руководителя и участника – гражданина А., солидарно с названным гражданином привлечено к субсидиарной ответственности по обязательствам должника в связи с совершением сделки, повлекшей отчуждение основного актива должника без равноценного встречного предоставления.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 мнению ООО «Мастер осанки», подпункт 1 пункта 2 статьи 6111 Федерального закона «О несостоятельности (банкротстве)» не соответствует Конституции Российской Федерации, в частности ее статье 54, поскольку позволяет признавать основанием субсидиарной ответственности действия, совершенные до вступления оспариваемой нормы в силу.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«Мастер осанки»,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