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Тюрина Сергея Викторовича на нарушение его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С.В.Тюрина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С.В.Тюрин оспаривает конституционность пункта 1 статьи 302 ГК Российской Федерации, закрепляющего, что если имущество возмездно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 Из представленных материалов следует, что решением суда общей юрисдикции, оставленным без изменения апелляционным определением 2 (принято после направления дела на новое рассмотрение в суд апелляционной инстанции кассационным судом общей юрисдикции), среди прочего, залогодателю – С.В.Тюрину отказано в истребовании жилого помещения из владения ответчицы, приобретшей его по договору купли- продажи у лица, выигравшего торги по продаже этого жилого помещения в качестве предмета залога, на который обращено взыскание. Решение суда об обращении взыскания на предмет залога было впоследствии отменено; в удовлетворении соответствующего требования залогодержателя отказано. Отклоняя доводы апелляционной жалобы С.В.Тюрина, ссылавшегося в том числе на выбытие жилого помещения из его владения помимо его воли, суд апелляционной инстанции, указал, в частности, что заявитель добровольно передал спорное жилое помещение в залог. В передаче кассационной жалобы С.В.Тюрина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15 (часть 1), 17 (часть 3), 18, 19 (части 1 и 2), 35 (часть 1), 45 (часть 1), 46 (часть 1) и 55 (часть 2) Конституции Российской Федерации, поскольку по смыслу, придаваемому ему правоприменительной практикой, оно позволяет считать, что имущество, на которое после прекращения действия договора залога обращено взыскание, а равно которое принудительно продано во исполнение ошибочного судебного постановления, впоследствии отмененного, выбыло из владения собственника-залогодателя по его воле.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302 ГК Российской Федерации, ограничивающей в целях защиты добросовестного приобретателя перечень оснований, которые дают право собственнику истребовать у такого приобретателя имущество, по 3 своему конституционно-правовому смыслу, выявленному в Постановлении Конституционного Суда Российской Федерации от 21 апреля 2003 года № 6- П, направлены на обеспечение стабильности гражданского оборота и установление баланса прав и законных интересов всех его участников (определения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Тюрина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