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788382-О/2024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Борцовой Елизаветы Александровны на нарушение ее конституционных прав пунктами 4 и 5 части первой статьи 23 и пунктом 1 части второй статьи 3904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Е.А.Борцовой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Е.А.Борцова оспаривает конституционность пунктов 4 и 5 части первой статьи 23 «Гражданские дела, подсудные мировому судье» и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Федерации. Как следует из представленных материалов, апелляционным определением, оставленным без изменения кассационным судом общей юрисдикции, отменено решение мирового судьи и отказано в удовлетворении 2 исковых требований Е.А.Борцовой к туроператору о компенсации морального вреда, взыскании убытков и штрафа. По мнению заявительницы, оспариваемые законоположения не соответствуют статьям 19 (части 1 и 2), 46 (части 1 и 2) и 56 (часть 3) Конституции Российской Федерации, поскольку в отсутствие законодательного определения понятия «имущественный спор» они создают неопределенность в установлении подсудности гражданского дела, а также поскольку они не допускают возможность обжалования в Судебную коллегию по гражданским делам Верховного Суда Российской Федерации судебных постановлений, принятых по делу, подсудному мировому судье.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Борцовой Елизаветы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