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691377-П/2023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Широковского Сергея Ивановича на нарушение его конституционных прав статьей 2.7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С.И.Широковского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С.И.Широковский оспаривает конституционность статьи 2.7 КоАП Российской Федерации, в соответствии с которой не является административным правонарушением причинение лицом вреда охраняемым законом интересам в состоянии крайней необходимости, т.е.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вред. 2 Как следует из представленных материалов, постановлением мирового судьи, оставленным без изменения актами вышестоящих судов, заявитель был признан виновным в совершении административного правонарушения, предусмотренного частью 2 статьи 20.13 КоАП Российской Федерации (стрельба из оружия в не отведенном для этого месте), и ему было назначено административное наказание в виде административного штрафа в размере сорока тысяч рублей с конфискацией оружия. Суды указали, что действия заявителя не могут быть расценены как совершенные в состоянии крайней необходимости, поскольку не носили вынужденного характера. По мнению заявителя, оспариваемая норма, будучи неопределенной, ставит квалификацию действий в качестве совершенных в условиях крайней необходимости в зависимость от усмотрения правоприменителя, а потому противоречит статьям 2 и 19 (часть 1)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Широковского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