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533860-П/2021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Зимакова Виталия Васильевича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В.В.Зимакова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В.В.Зимакову постановлением судьи возвращена для устранения недостатков поданная в порядке статьи 125 УПК Российской Федерации жалоба, поскольку он не представил копию обжалуемого постановления об отказе в возбуждении уголовного дела. Апелляционным постановлением данное судебное решение оставлено без изменения, в передаче кассационных жалоб В.В.Зимакова для рассмотрения в судебном заседании суда кассационной инстанции отказано. В этой связи заявитель утверждает, что статья 125 «Судебный порядок рассмотрения жалоб» УПК Российской Федерации, позволяя 2 судье возвращать жалобу в связи с непредставлением обжалуемого постановления следователя и не рассматривать ходатайство об истребовании материалов проверки по сообщению о преступлении, нарушает его права, гарантированные статьями 19 (часть 1), 33, 46 (части 1 и 2), 52 (часть 1) и 55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судебный порядок рассмотрения жалоб на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решения и действия (бездействие)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правосудию. Это предполагает указание в жалобе на конкретные оспариваемые решения или действия (бездействие) конкретных должностных лиц – субъектов уголовно-процессуальных правоотношений, что не может расцениваться в качестве ограничения прав заявителя (определения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Зимакова Виталия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