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786761-О/2024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Шленчака Александра Алексеевича на нарушение его конституционных прав частью первой статьи 306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А.А.Шленчака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(с учетом изменений, внесенных апелляционным определением) гражданин А.А.Шленчак признан виновным в совершении в составе группы лиц по предварительному сговору преступлений, в том числе заведомо ложного доноса. Суд установил, что А.А.Шленчак, будучи адвокатом, по договоренности с гражданином З. направил в орган внутренних дел подготовленное им и подписанное З. заявление, которое содержало заведомо ложные сведения о хищении автомобиля, а также 2 предупреждение З. об уголовной ответственности за заведомо ложный донос. Доводы кассационных жалоб отклонены вышестоящими судами. Как утверждает заявитель, часть первая статьи 306 «Заведомо ложный донос» УК Российской Федерации противоречит Конституции Российской Федерации, в том числе статьям 18, 19, 45, 46, 52, 54 и 55, поскольку она – вопреки смыслу, придаваемому ей официальным толкованием, – позволяет привлекать к уголовной ответственности адвоката, который в соответствии с действующим законодательством и на основании соглашения с доверителем добросовестно изготовил и направил в правоохранительные органы заявление о преступлении, подписанное доверителем и содержащее предупреждение этого доверителя об уголовной ответственности за заведомо ложный донос, притом что сам адвокат не был предупрежден о такой ответственности.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Уголовный кодекс Российской Федерации – единственный законодательный акт, определяющий преступность деяния, его наказуемость, иные уголовно-правовые последствия (статья 3), называет основанием уголовной ответственности совершение деяния, содержащего все признаки состава преступления, предусмотренного данным Кодексом (статья 8), и устанавливает уголовную ответственность за заведомо ложный донос (часть первая статьи 306), объективная сторона которого состоит в умышленном сообщении в органы дознания, предварительного следствия или прокуратуры заведомо недостоверной информации о событии подготавливаемого, совершаемого либо совершенного уголовно наказуемого деяния независимо от того, содержит ли такое сообщение указание на причастность к данному деянию конкретных лиц (пункт 19 постановления Пленума Верховного Суда Российской Федерации от 28 июня 2022 года № 20 «О некоторых вопросах судебной практики по уголовным делам о преступлениях против правосудия»). 3 Как указал Конституционный Суд Российской Федерации, адвокатская деятельность обособлена от других видов юридической помощи как особый вид квалифицированной юридической помощи, который оказывается исключительно субъектами со специальным правовым статусом – адвокатами (Постановление от 18 июля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Шленчака Александра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