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790186-О/2024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«Флюид-Лайн» на нарушение его конституционных прав статьями 389 и 391, пунктом 3 статьи 433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«Флюид-Лайн»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«Флюид-Лайн» (далее – ООО «Флюид-Лайн») оспаривает конституционность статей 389 «Форма уступки требования» и 391 «Условия и форма перевода долга», пункта 3 статьи 433 «Момент заключения договора» ГК Российской Федерации. Как следует из представленных материалов, решением арбитражного суда частично удовлетворен иск арендодателя о взыскании задолженности по договору долгосрочной аренды нежилых помещений и неустойки с хозяйственного общества, которое по соглашению о переводе долга с арендодателем приняло на себя обязательство первоначального должника – арендатора по данному договору. В удовлетворении апелляционной и 2 кассационной жалоб на это решение, поданных ООО «Флюид-Лайн», являвшимся кредитором указанного хозяйственного общества, отказано арбитражными судами соответствующих инстанций. В передаче кассационной жалобы ООО «Флюид-Лайн» для рассмотрения в судебном заседании Судебной коллегии по экономическим спорам Верховного Суда Российской Федерации отказано определением судьи этого суда. В обоснование своих жалоб на решение суда первой инстанции ООО «Флюид-Лайн» среди прочего ссылалось на то, что соглашение о переводе долга является, по его мнению, незаключенным ввиду несогласованности его существенных условий и отсутствия государственной регистрации, а также что его стороны, между которыми отсутствовали реальные хозяйственные отношения, намеревались лишить иных кредиторов прав по делу о банкротстве указанного хозяйственного общества путем создания искусственной задолженности. По мнению заявителя, оспариваемые нормы не соответствуют статьям 8, 15 (часть 1), 34 (часть 1), 35 (части 1–3), 46 (части 1 и 2) и 76 (часть 3) Конституции Российской Федерации, поскольку в силу неопределенности своего содержания позволяют судам признавать соглашение о переводе долга заключенным в отсутствие согласованных условий о задолженности и первоначальном должнике, а также при несоблюдении требования о государственной регистрации соглашения о переводе долга из сделки, требующей государственной регистрации.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«Флюид-Лайн»,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