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Трошкина Евгения Валерьевича на нарушение его конституционных прав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Е.В.Трошкина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Е.В.Трошкин оспаривает конституционность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Е.В.Трошкину отказано в удовлетворении заявления о пересмотре вступившего в законную силу решения того же суда по новым обстоятельствам. При этом в качестве такого 2 обстоятельства заявитель указывал на вынесенное по его жалобе Определение Конституционного Суда Российской Федерации от 24 февраля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По смыслу данного законоположения, судебные постановления, вступившие в законную силу, могут быть пересмотрены по вновь открывшимся обстоятельствам, каковыми являются относящиеся к делу фактические обстоятельства, объективно имевшие место на момент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этого постановления. Для исправления же судебных ошибок, допущенных судом при вынесении решения, законодательство предусматривает другие формы проверки этих решений вышестоящими судами общей юрисдикции. 3 Соответственно, часть третья статьи 392 ГПК Российской Федерации не может расцениваться в качестве нарушающей конституционные права Е.В.Трошкина, перечисленные в жалобе, в чьем конкретном деле суды отметили, в частности, что Определение Конституционного Суда Российской Федерации от 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Трошкина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