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735840-О/2024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«Альфаресурс» на нарушение его конституционных прав статьей 19 и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«Альфаресурс»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«П.» и оставленным без изменения постановлениями судов апелляционной и кассационной инстанций, был признан недействительным договор субаренды газовой котельной, заключенный между должником, обществом с ограниченной ответственностью «Альфаресурс» (далее также – ООО «Альфаресурс)» и хозяйственным обществом «И.», применены последствия недействительности сделки. При этом суды исходили, в частности, из доказанности совокупности условий, необходимых для признания оспариваемой сделки недействительной как совершенной с целью причинения вреда имущественным правам кредиторов должника. 2 ООО «Альфаресурс» оспаривает конституционность пункта 2 статьи 612 «Оспаривание подозрительных сделок должника» во взаимосвязи со статьей 19 «Заинтересованные лица»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19, 34 (часть 1), 35 (часть 2) и 55 (часть 3) Конституции Российской Федерации в той мере, в какой они по смыслу, придаваемому им сложившейся правоприменительной практикой, допускают произвольное признание сделки должника недействительной по мотиву заинтересованности в ее совершении, если по обстоятельствам дела имелось встречное исполнение обязательства перед должником и существовали объективно необходимые экономические связи между должником и кредитором, совершившими оспариваемую сделку.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3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Данное законоположение, направленное на противодействие последствиям совершения сделок в целях причинения вреда имущественным правам кредиторов и защиту имущественных интересов кредиторов, не предполагает его произвольного применения и, рассматриваемое в том числе во взаимосвязи со статьей 19 того же Федерального закона, обеспечивающей определенность в вопросе о круге заинтересованных лиц по отношению к должнику, не может расцениваться как нарушающее конституционные права заявителя, указанные в жалобе.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«Альфаресурс»,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