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737467-О/2024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К. на нарушение конституционных прав ее несовершеннолетней дочери пунктом 2 статьи 52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К.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 оспаривает конституционность пункта 2 статьи 52 Семейного кодекса Российской Федерации, предусматривающего, что требование лица, записанного отцом ребенка на основании пункта 2 статьи 51 данного Кодекса, об оспаривании отцовства не может быть удовлетворено, если в момент записи этому лицу было известно, что оно фактически не является отцом ребенка. Из представленных материалов следует, что решением суда первой инстанции, оставленным в соответствующей части без изменения определением суда апелляционной инстанции (принято после направления дела на новое рассмотрение кассационным судом общей юрисдикции), среди прочего, удовлетворено требование гражданина С. об оспаривании его отцовства в отношении несовершеннолетней дочери К. Суды первой и 2 апелляционной инстанций указали, что пункт 2 статьи 52 Семейного кодекса Российской Федерации не распространяется на правоотношения с участием сторон, состоявших в браке между собой, и что осведомленность С. об отсутствии биологического родства с ребенком не имеет правового значения. Вместе с тем суд первой инстанции указал, что К. не представила достаточных доказательств такой осведомленности, и обратил внимание на изменение заявительницей своих объяснений и их противоречивость. Решение суда первой инстанции в неизмененной части и определение суда первой инстанции оставлены без изменения определением суда кассационной инстанции. В передаче кассационной жалобы К. на постановления судов нижестоящих инстанций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1 (часть 1), 19 (части 1 и 2), 38 (часть 1), 55 (часть 3) и 671 (часть 4) Конституции Российской Федерации, поскольку оно допускает оспаривание отцовства по требованию лица, которое в момент внесения записи о его отцовстве знало, что оно не является отцом ребенка, но своевременно не ставило под сомнение эту запись, если лица, записанные в качестве родителей ребенка, состояли в браке между собой. Заявительница, указывающая на нарушение в такой ситуации прав несовершеннолетних, фактически подает жалобу в защиту конституционных прав своей несовершеннолетней дочери.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52 Семейного кодекса Российской Федерации имеет целью реализацию принципа обеспечения приоритетной защиты прав и интересов несовершеннолетних (пункт 3 статьи 1 данного Кодекса) (определения Конституционного Суда Российской Федерации от 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К., поскольку она не отвечает требованиям Федерального конституционного 4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