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789265-О/2024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Павловского Сергея Викторовича на нарушение его конституционных прав пунктом 2 статьи 181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С.В.Павловского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С.В.Павловский оспаривает конституционность пункта 2 статьи 181 ГК Российской Федерации, предусматривающего, что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(пункт 1 статьи 179), либо со дня, когда истец узнал или должен был узнать об иных обстоятельствах, являющихся основанием для признания сделки недействительной. Как следует из представленных материалов, решением суда общей юрисдикции, оставленным без изменения определением суда апелляционной 2 инстанции, С.В.Павловскому отказано в удовлетворении исковых требований к бывшей супруге – гражданке П. и соответчикам о признании договоров дарения, заключенных П. после расторжения брака, недействительными, применении последствий недействительности сделок, погашении регистрационной записи о праве собственности, возвращении в общую совместную собственность имущества, восстановлении регистрационной записи о праве собственности, признании договора передачи квартиры в порядке приватизации П. недействительным, применении последствий признания сделки недействительной.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Конституции Российской Федерации, ее статье 46, поскольку оно не содержит исчерпывающего перечня случаев, когда лицо должно было узнать об иных обстоятельствах, являющихся основанием для признания сделки недействительной, и не регулирует порядок установления таких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Павловского Сергея Викторовича,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