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621673-П/2022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Рукина Алексея Сергеевича на нарушение его конституционных прав статьями 19, 23, 44, 45, 356, 357, 358 и 362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А.С.Рукина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А.С.Рукин оспаривает конституционность статей 19 «Налогоплательщики, плательщики сборов, плательщики страховых взносов», 23 «Обязанности налогоплательщиков (плательщиков сборов, плательщиков страховых взносов)», 44 «Возникновение, изменение и прекращение обязанности по уплате налога, сбора, страховых взносов» и 45 «Исполнение обязанности по уплате налога, сбора, страховых взносов» части первой Налогового кодекса Российской Федерации, а также статей 356 «Общие положения», 357 «Налогоплательщики», 358 «Объект налогообложения» и 362 «Порядок исчисления суммы налога и сумм 2 авансовых платежей по налогу» главы 28 «Транспортный налог» части второй данного Кодекса. Как следует из представленных материалов, в рамках расследования в отношении заявителя уголовного дела по признакам состава преступления, предусмотренного частью четвертой статьи 159 «Мошенничество» УК Российской Федерации, на принадлежащее ему транспортное средство постановлением суда был наложен арест. Впоследствии А.С.Рукин обратился в суд с административным исковым заявлением об оспаривании действий налогового органа по начислению транспортного налога за период, когда он был лишен возможности эксплуатировать транспортное средство. Решением суда, оставленным без изменения вышестоящими судами, в удовлетворении заявленных требований было отказано. Как указали суды, отсутствуют основания для освобождения заявителя от уплаты транспортного налога, поскольку в спорный период он продолжал оставаться собственником транспортного средства. По мнению заявителя, оспариваемые нормы Налогового кодекса Российской Федерации не соответствуют статьям 35 и 57 Конституции Российской Федерации, поскольку обязывают налогоплательщика уплачивать транспортный налог в отношении изъятого у него автомобиля.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исходя из того, что каждый обязан платить законно установленные налоги и сборы (статья 57), и одновременно гарантируя каждому право иметь имущество в собственности, владеть, пользоваться и распоряжаться им (статья 35, часть 2), допускает ограничение указанного права не иначе как федеральным законом в конституционно значимых целях на основе требований необходимости и соразмерности (статья 55, часть 3). Одним из таких случаев правомерного ограничения права собственности является установление Налоговым кодексом Российской 3 Федерации и законами субъектов Российской Федерации транспортного налога, который обязателен к уплате на территории соответствующего субъекта Российской Федерации (часть первая статьи 356 Налогового кодекса Российской Федерации). Исходя из приведенных положений,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Рукина Алексея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