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750902-О/2024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«Сварщик Групп» на нарушение его конституционных прав статьей 6, частями 1 и 2 статьи 13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«Сварщик Групп»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«Сварщик Групп» (далее также – ООО «Сварщик Групп») оспаривает конституционность статьи 6 «Законность при рассмотрении дел арбитражным судом», частей 1 и 2 статьи 13 «Нормативные правовые акты, применяемые при рассмотрении дел» АПК Российской Федерации. Как следует из представленных материалов, решением арбитражного суда, оставленным без изменения арбитражными судами 2 вышестоящих инстанций, удовлетворены исковые требования юридического лица к ООО «Сварщик Групп» о взыскании неосновательного обогащения и процентов за пользование чужими денежными средствами.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ООО «Сварщик Групп», оспариваемые законоположения по смыслу, придаваемому им в системе действующего правового регулирования сложившейся правоприменительной практикой, противоречат статьям 115 (часть 2) и 120 (часть 2) Конституции Российской Федерации, поскольку позволяют арбитражному суду основывать свое решение на нормах, не предусмотренных законом.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6 и 13 АПК Российской Федерации требуют от арбитражных судов соблюдения законности и с этой целью предписывают им при рассмотрении дел руководствоваться Конституцией Российской Федерации, международными договорами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нормативными правовыми актами Правительства Российской Федерации, нормативными правовыми актами федеральных органов исполнительной власти, конституциями (уставами), законами и иными нормативными правовыми актами субъектов Российской Федерации, актами органов местного самоуправления. Гарантиями реализации права на судебную защиту для лиц, участвующих в деле, выступают обязанность арбитражного суда указать 3 законы и иные нормативные правовые акты из приведенного перечня, которыми он руководствовался при принятии решения, и мотивы, по которым он не применил законы и иные нормативные правовые акты, на которые ссылались лица, участвующие в деле (пункт 3 части 4 статьи 170 АПК Российской Федерации), а также установленные упомянутым Кодексом процедуры проверки судебных актов судами вышестоящих инстанций и основания для их отмены или изменения. Таким образом, оспариваемые законоположения не могут расцениваться в качестве нарушающих конституционные права заявителя. Установление же и оценка фактических обстоятельств конкретного дела, равно как и проверка правильности применения судом норм права с учетом данных обстоятельств, на что, по существу, направлены доводы ООО «Сварщик Групп», не относятся к компетенции Конституционного Суда Российской Федерации, определенной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«Сварщик Групп»,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