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564096-П/2021</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сентября 2021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Данилкиной Марьяны Руслановны на нарушение ее конституционных прав пунктом 5 статьи 2137 Федерального закона «О несостоятельности (банкротстве)»</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С.П.Маврина, Н.В.Мельникова, Ю.Д.Рудкина, В.Г.Ярославцева, рассмотрев вопрос о возможности принятия жалобы гражданки М.Р.Данилкиной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М.Р.Данилкина оспаривает конституционность пункта 5 статьи 2137 Федерального закона от 26 октября 2002 года № 127-ФЗ «О несостоятельности (банкротстве)», который закрепляет перечень сведений для целей идентификации гражданина в Едином федеральном реестре сведений о банкротстве, предусматривает обработку содержащихся в данных сведениях персональных данных в соответствии с Федеральным законом от 27 июля 2006 года № 152-ФЗ «О персональных данных» и устанавливает обязательность указания идентифицирующих сведений при каждом опубликовании сведений в ходе процедур, применяемых в деле о 2 банкротстве гражданина, а также во всех документах и судебных актах, связанных с банкротством гражданина, в том числе при размещении текстов судебных актов в сети «Интернет». Как следует из представленных материалов, определением арбитражного суда возвращено заявление кредитной организации о признании М.Р.Данилкиной банкротом. Определением того же арбитражного суда М.Р.Данилкиной отказано в удовлетворении заявления об удалении карточки производства по заявлению о признании ее банкротом из Картотеки арбитражных дел или сокрытии (обезличении) ее персональных данных в указанной карточке и опубликованных по данному производству судебных актах. Постановлением арбитражного суда апелляционной инстанции, оставленным без изменения судом кассационной инстанции, это определение отменено, производство по заявлению М.Р.Данилкиной прекращено. По мнению заявительницы, оспариваемое законоположение не соответствует статье 23 Конституции Российской Федерации, поскольку препятствует удалению размещенных в сети «Интернет» идентифицирующих гражданина сведений, содержащихся в определении арбитражного суда о возвращении заявления о признании его банкротом, чем затрудняет такому гражданину защиту права на неприкосновенность частной жизни, личную и семейную тайну, защиту своей чести и доброго имени.</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В силу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Данилкиной Марьяны Руслановны,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