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736061-П/2024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Ткаченко Андрея Валерьевича на нарушение его конституционных прав частью первой статьи 152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А.В.Ткаченко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А.В.Ткаченко оспаривает конституционность части первой статьи 152 Трудового кодекса Российской Федерации, закрепляющей, что сверхурочная работа оплачивается за первые два часа работы не менее чем в полуторном размере, за последующие часы – не менее чем в двойном размере; конкретные размеры оплаты за сверхурочную работу могут определяться коллективным договором, локальным нормативным актом или трудовым договором;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данным Кодексом. 2 По мнению заявителя, оспариваемое законоположение не соответствует статьям 17 (часть 3) и 37 (части 1 и 2) Конституции Российской Федерации в той мере, в какой оно в системе действующего правового регулирования по смыслу, придаваемому им правоприменительной практикой, предоставляет работодателю право не учитывать при расчете оплаты сверхурочных работ стимулирующие выплаты, а именно ежемесячные премии, входящие в систему оплаты труда.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 была предметом рассмотрения Конституционного Суда Российской Федерации, который в Постановлении от 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Ткаченко Андрея Валерьевича, поскольку по предмету обращения Конституционным Судом Российской Федерации ранее было принято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