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Арустамяна Камо Георгиевича на нарушение его конституционных прав статьями 52, 258 и пунктом 6 части второй статьи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К.Г.Арустамяна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Первого кассационного суда общей юрисдикции от 30 сентября 2021 года гражданину К.Г.Арустамяну отказано в передаче для рассмотрения в судебном заседании суда кассационной инстанции жалобы об оспаривании вынесенного в его отношении приговора. При этом отмечено, что право на защиту осужденному в суде первой инстанции обеспечено, сведений о ненадлежащем оказании юридической помощи не установлено. Кроме того, из представленных материалов следует, что К.Г.Арустамян в суде первой инстанции был удален из зала судебного 2 заседания до окончания прений сторон за систематические нарушения установленного порядка. В этой связи заявитель просит признать не соответствующими Конституции Российской Федерации статьи 52 «Отказ от защитника», 258 «Меры воздействия за нарушение порядка в судебном заседании» и пункт 6 части второй статьи 38917 «Существенные нарушения уголовно- процессуального закона» УПК Российской Федерации, поскольку, по его утверждению, данные нормы позволили суду в его деле навязать защитника, от услуг которого он отказался, а также необоснованно удалить его из зала судебного заседания, лишив возможности выступить в прениях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Арустамяна Камо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