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751334-О/2024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Самородина Андрея Викторовича на нарушение его конституционных прав пунктом 1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А.В.Самородина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А.В.Самородин оспаривает конституционность пункта 1 статьи 200 ГК Российской Федерации, предусматривающего, что,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Как следует из представленных материалов, решением суда общей юрисдикции, оставленным без изменения определением суда апелляционной инстанции, удовлетворен иск гражданки С. к А.В.Самородину о признании утратившим право пользования жилым помещением, снятии с 2 регистрационного учета; заявителю отказано в удовлетворении встречных требований о признании договора передачи жилого помещения в собственность частично недействительным, прекращении права собственности С. на долю в праве собственности на спорное жилое помещение, признании доли за А.В.Самородиным. Суд кассационной инстанции указал, что выводы судов первой и апелляционной инстанций о пропуске заявителем срока исковой давности основаны на правильном применении норм права.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пункт 1 статьи 200 ГК Российской Федерации противоречит Конституции Российской Федерации, поскольку он по смыслу, придаваемому ему правоприменительной практикой, позволяет суду самостоятельно определять перечень доказательств пропуска срока исковой давности; порождает неопределенность в вопросе об обязанности гражданина, права которого нарушены сделкой, в которой он не участвовал, представлять доказательства такого нарушения своих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Самородина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