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790623-О/2024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Е. на нарушение ее конституционных прав статьей 50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 оспаривает конституционность статьи 50 Семейного кодекса Российской Федерации, предусматривающей, что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 Из представленных материалов следует, что определением суда апелляционной инстанции отменено решение суда общей юрисдикции и, среди прочего, отказано в удовлетворении требования об установлении факта признания наследодателем отцовства в отношении несовершеннолетней дочери Е. Суд апелляционной инстанции сослался на отсутствие 2 доказательств признания наследодателем отцовства и отметил, что суд первой инстанции, удовлетворяя требование, соответствующих обстоятельств не исследовал и, ограничившись указанием на уклонение ответчиков от проведения молекулярно-генетической экспертизы, подменил предмет спора. Кроме того, суд апелляционной инстанции подчеркнул, что имеющимися в деле результатами экспертизы родство наследодателя и ребенка безусловно не подтверждено и что ранее в ином деле в удовлетворении требования об установлении отцовства наследодателя в отношении несовершеннолетней дочери Е. было отказано в связи с отсутствием доказательств, подтверждающих происхождение ребенка от наследодателя. В передаче кассационной жалобы на названное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2, 17, 18, 38 и 46 Конституции Российской Федерации, поскольку по смыслу, придаваемому ему правоприменительной практикой, оно не позволяет установить факт признания отцовства на основании заключения молекулярно-генетической экспертизы наравне с иными письменными доказательствами.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50 Семейного кодекса Российской Федерации обеспечивает защиту прав детей, в отношении которых отцовство признавалось лицом, не состоявшим в браке с их матерью, и согласуется с конституционным принципом государственной поддержки и защиты семьи, материнства, отцовства и детства, закрепленным в статьях 7 (часть 2) и 38 (часть 1) Конституции Российской Федерации (определения Конституционного Суда 3 Российской Федерации от 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Е.,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