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697563-П/2023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Янчик Юлии Александровны на нарушение ее конституционных прав статьей 1083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Ю.А.Янчик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Ю.А.Янчик оспаривает конституционность статьи 1083 «Учет вины потерпевшего и имущественного положения лица, причинившего вред» ГК Российской Федерации. Как следует из представленных материалов, решением суда общей юрисдикции, с которым согласились вышестоящие суды, отказано в удовлетворении требования гражданки Ю.А.Янчик (Тулубаевой) к гражданам Д.Т. и Д.Д. о возмещении вреда, причиненного дорожно- транспортным происшествием с участием малолетней дочери указанных граждан; частично удовлетворен встречный иск к заявительнице о компенсации морального вреда, причиненного ребенку. Суд пришел к выводу, что причиной дорожно-транспортного происшествия послужили действия Ю.А.Янчик. 2 По мнению заявительницы, оспариваемая норма противоречит статьям 17, 45 и 46 Конституции Российской Федерации, поскольку позволяет суду связывать правовые последствия причинения вреда с виновными действиями исключительно одного из участников дорожно-транспортного происшествия, воздерживаясь от оценки действий другого участника этого происшествия, грубо нарушившего правила дорожного движения.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Янчик Юлии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