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737469-О/2024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 на нарушение ее конституционных прав пунктом 1 статьи 55 и пунктами 1 и 3 статьи 67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 оспаривает конституционность пункта 1 статьи 55 «Право ребенка на общение с родителями и другими родственниками» и пунктов 1 и 3 статьи 67 «Право на общение с ребенком дедушки, бабушки, братьев, сестер и других родственников» Семейного кодекса Российской Федерации. Из представленных материалов следует, что решением суда общей юрисдикции, оставленным без изменения определением суда апелляционной инстанции, отцу, бабушке (А.) и тете (гражданке Г.А.) несовершеннолетнего ребенка отказано в определении порядка общения с ним; заявительница и Г.А. по встречному иску матери ребенка ограничены в общении с ребенком до достижения им возраста десяти лет. В передаче кассационной жалобы А. 2 на названные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оспариваемые положения противоречат статьям 1, 2, 15, 17 (часть 1), 18, 19 (часть 1), 38 (часть 1), 45–47 и 55 Конституции Российской Федерации, поскольку по смыслу, придаваемому им правоприменительной практикой в системе действующего правового регулирования, они произвольно применяются судами и позволяют ограничить на определенный срок право родственников общаться с несовершеннолетним ребенком без предусмотренных законом оснований и с нарушением порядка принятия такого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Конвенцией о правах ребенка (принята Генеральной Ассамблеей ООН 20 ноября 1989 года)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(пункт 1 статьи 3). Принцип приоритетной защиты прав и интересов несовершеннолетних членов семьи закреплен в пункте 3 статьи 1 Семейного кодекса Российской Федерации, что согласуется с положениями Конституции Российской Федерации (статья 38, часть 1; статья 671, часть 4) (Определение Конституционного Суда Российской Федерации от 31 марта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